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365" w:left="0" w:firstLine="0"/>
        <w:jc w:val="center"/>
        <w:rPr>
          <w:rFonts w:ascii="Times New Roman" w:hAnsi="Times New Roman" w:cs="Times New Roman" w:eastAsia="Times New Roman"/>
          <w:b/>
          <w:color w:val="6633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63300"/>
          <w:spacing w:val="0"/>
          <w:position w:val="0"/>
          <w:sz w:val="40"/>
          <w:shd w:fill="auto" w:val="clear"/>
        </w:rPr>
        <w:t xml:space="preserve">ПРИВАТНЕ АКЦІОНЕРНЕ ТОВАРИСТВО </w:t>
      </w:r>
      <w:r>
        <w:rPr>
          <w:rFonts w:ascii="Times New Roman" w:hAnsi="Times New Roman" w:cs="Times New Roman" w:eastAsia="Times New Roman"/>
          <w:b/>
          <w:color w:val="66330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663300"/>
          <w:spacing w:val="0"/>
          <w:position w:val="0"/>
          <w:sz w:val="40"/>
          <w:shd w:fill="auto" w:val="clear"/>
        </w:rPr>
        <w:t xml:space="preserve">ВОЛИНСЬКА ГІРНИЧО-ХІМІЧНА КОМПАНІЯ</w:t>
      </w:r>
      <w:r>
        <w:rPr>
          <w:rFonts w:ascii="Times New Roman" w:hAnsi="Times New Roman" w:cs="Times New Roman" w:eastAsia="Times New Roman"/>
          <w:b/>
          <w:color w:val="663300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88"/>
        <w:ind w:right="-81" w:left="-142" w:firstLine="0"/>
        <w:jc w:val="both"/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Ідентифікаційний код: 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31183932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71214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, Запорізька обл., Чернігівський р-н,</w:t>
      </w:r>
    </w:p>
    <w:p>
      <w:pPr>
        <w:spacing w:before="0" w:after="0" w:line="288"/>
        <w:ind w:right="-149" w:left="-142" w:firstLine="0"/>
        <w:jc w:val="both"/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тел. + 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380 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765 26 56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с. Новополтавка, вул. Центральна, буд. </w:t>
      </w:r>
      <w:r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  <w:t xml:space="preserve">195</w:t>
      </w:r>
    </w:p>
    <w:p>
      <w:pPr>
        <w:spacing w:before="0" w:after="0" w:line="288"/>
        <w:ind w:right="-81" w:left="0" w:firstLine="0"/>
        <w:jc w:val="both"/>
        <w:rPr>
          <w:rFonts w:ascii="Times New Roman" w:hAnsi="Times New Roman" w:cs="Times New Roman" w:eastAsia="Times New Roman"/>
          <w:b/>
          <w:i/>
          <w:color w:val="6633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NewRomanPS" w:hAnsi="TimesNewRomanPS" w:cs="TimesNewRomanPS" w:eastAsia="TimesNewRomanPS"/>
          <w:b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NewRomanPS" w:hAnsi="TimesNewRomanPS" w:cs="TimesNewRomanPS" w:eastAsia="TimesNewRomanPS"/>
          <w:b/>
          <w:caps w:val="true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Повідомлення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про</w:t>
      </w:r>
      <w:r>
        <w:rPr>
          <w:rFonts w:ascii="TimesNewRomanPS" w:hAnsi="TimesNewRomanPS" w:cs="TimesNewRomanPS" w:eastAsia="TimesNewRomanPS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скликання</w:t>
      </w:r>
      <w:r>
        <w:rPr>
          <w:rFonts w:ascii="TimesNewRomanPS" w:hAnsi="TimesNewRomanPS" w:cs="TimesNewRomanPS" w:eastAsia="TimesNewRomanPS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чергових</w:t>
      </w:r>
      <w:r>
        <w:rPr>
          <w:rFonts w:ascii="TimesNewRomanPS" w:hAnsi="TimesNewRomanPS" w:cs="TimesNewRomanPS" w:eastAsia="TimesNewRomanPS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Загальних</w:t>
      </w:r>
      <w:r>
        <w:rPr>
          <w:rFonts w:ascii="TimesNewRomanPS" w:hAnsi="TimesNewRomanPS" w:cs="TimesNewRomanPS" w:eastAsia="TimesNewRomanPS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зборів</w:t>
      </w:r>
      <w:r>
        <w:rPr>
          <w:rFonts w:ascii="TimesNewRomanPS" w:hAnsi="TimesNewRomanPS" w:cs="TimesNewRomanPS" w:eastAsia="TimesNewRomanPS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16"/>
          <w:shd w:fill="auto" w:val="clear"/>
        </w:rPr>
        <w:t xml:space="preserve">акціонерів</w:t>
      </w:r>
      <w:r>
        <w:rPr>
          <w:rFonts w:ascii="TimesNewRomanPS" w:hAnsi="TimesNewRomanPS" w:cs="TimesNewRomanPS" w:eastAsia="TimesNewRomanPS"/>
          <w:b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9" w:leader="none"/>
          <w:tab w:val="left" w:pos="467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Приватне акціонерне товариство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Волинська гірничо-хімічна компанія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ідентифікаційний код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31183932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(далі по тексту – Товариство), повідомляє про  проведення чергових Загальних зборів акціонерів Товариства, які відбудуться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квітня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року за адресою: Запорізька область, Чернігівський район, село Новополтавка, вулиця Центральна, будинок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 офіс розташований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-у поверсі в приміщенні Новополтавської лікарняної амбулаторії.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Початок Загальних зборів акціонерів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хвилин.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Реєстрація акціонерів та представників акціонерів, що прибули для участі у Загальних зборах акціонерів, здійснюється за місцем проведення Загальних зборів за адресою: Україна,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71214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Запорізька область, Чернігівський район, село Новополтавка, вулиця Центральна, будинок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офіс розташований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-у поверсі в приміщенні Новополтавської лікарняної амбулаторії.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Початок реєстрації акціонерів для участі у Загальних зборах: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хвилин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квітня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року. Закінчення реєстрації акціонерів для участі у Загальних зборах: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хвилин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квітня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року.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Право на участь у Загальних зборах акціонерів мають акціонери Товариства, включені до переліку акціонерів, які мають право на таку участь (включені до переліку акціонерів, складеного станом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годину за три робочих дні до дня проведення зборів), або їх представники. Для підтвердження свого права на участь у Загальних зборах акціонери, що прибули на збори, при собі повинні мати документ, що посвідчує особу, представники акціонерів – документи на право участі на Загальних зборах Товариства, оформлені відповідно до вимог чинного законодавства України та документ, що посвідчу особу представника.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реєстрації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акціонера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й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ого представника) для участі у Загальних зборах може бути відмовлено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Реєстрацій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ною комісією у разі відсутності в акціонера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й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ого представника) документів, які ідентифікують особу акціонера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й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ого представника), а в разі участі представника акціонера – також документів, що підтверджують повноваження представника на участь у Загальних зборах акціонерів Товариства. 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16"/>
          <w:shd w:fill="FFFFFF" w:val="clear"/>
        </w:rPr>
        <w:t xml:space="preserve">Перелік питань, що виносяться на голосування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16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16"/>
          <w:shd w:fill="FFFFFF" w:val="clear"/>
        </w:rPr>
        <w:t xml:space="preserve">проект порядку денного загальних зборів акціонерів):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Затвердження результатів діяльності Товариства: затвердження річного звіту та балансу Товариства 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рік.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Розподіл прибутку і збитків Товариства.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Звіт Генерального директора Товариства.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Прийняття рішення за наслідками розгляду звіту Генерального директора Товариства.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Обрання членів лічильної комісії Загальних зборів.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Обрання членів Наглядової ради Товариства.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Обрання членів ревізійної комісії (ревізора) Товариства.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ОСНОВНІ ПОКАЗНИКИ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16"/>
          <w:shd w:fill="auto" w:val="clear"/>
        </w:rPr>
        <w:t xml:space="preserve">фінансово-господарської діяльності</w:t>
      </w:r>
    </w:p>
    <w:p>
      <w:pPr>
        <w:tabs>
          <w:tab w:val="center" w:pos="4674" w:leader="none"/>
          <w:tab w:val="left" w:pos="848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FFFFFF" w:val="clear"/>
        </w:rPr>
        <w:t xml:space="preserve">ПрАТ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ВОЛИНСЬКА ГІРНИЧО-ХІМІЧНА КОМПАНІЯ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791"/>
      </w:tblGrid>
      <w:tr>
        <w:trPr>
          <w:trHeight w:val="188" w:hRule="auto"/>
          <w:jc w:val="left"/>
        </w:trPr>
        <w:tc>
          <w:tcPr>
            <w:tcW w:w="97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5524"/>
              <w:gridCol w:w="1984"/>
              <w:gridCol w:w="2126"/>
            </w:tblGrid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Найменування показника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-109" w:left="-111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Звітний період (тис. грн.)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-528" w:left="-53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Попередній період</w:t>
                  </w:r>
                </w:p>
                <w:p>
                  <w:pPr>
                    <w:spacing w:before="0" w:after="0" w:line="240"/>
                    <w:ind w:right="-103" w:left="-105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тис. грн.)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Усього активів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53523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53523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8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Основні засоби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Інші необоротні активи 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53200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53200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Дебіторська заборгованість за товари, роботи, послуги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Витрати майбутніх періодів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319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319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Грошові кошти та їх еквіваленти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3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4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6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Власний капітал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Статутний капітал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150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150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0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Нерозподілений прибуток (непокритий збиток)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352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334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7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Довгострокові зобов'язання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53278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53278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Поточні зобов'язання 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447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430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3</w:t>
                  </w:r>
                </w:p>
              </w:tc>
            </w:tr>
            <w:tr>
              <w:trPr>
                <w:trHeight w:val="183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Неоплачений капітал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Середньорічна кількість акцій (шт.)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Кількість власних акцій, викуплених протягом періоду (шт.)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Загальна сума коштів, витрачених на викуп власних акцій протягом періоду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-</w:t>
                  </w:r>
                </w:p>
              </w:tc>
            </w:tr>
            <w:tr>
              <w:trPr>
                <w:trHeight w:val="188" w:hRule="auto"/>
                <w:jc w:val="left"/>
              </w:trPr>
              <w:tc>
                <w:tcPr>
                  <w:tcW w:w="55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Чисельність працівників на кінець періоду (осіб)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212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1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Акціонери можуть ознайомитися з матеріалами, необхідними для прийняття рішень з питань порядку денного Загальних зборів акціонерів 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березня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року до початку Загальних зборів акціонерів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квітня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року у робочий час 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хвилин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хвилин, крім суботи та неділі, обідня перерва 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хвилин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годин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хвилин в приміщенні за місцезнаходженням Товариства: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71214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Запорізька область, Чернігівський район, село Новополтавка, вулиця Центральна, будинок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офіс розташований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-у поверсі в приміщенні Новополтавської лікарняної амбулаторії.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За фактичним місцезнаходженням Товариства за адресою: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02160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м. Київ, вул. Харківське шосе, буд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офіс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252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Посадова особа відповідальна за порядок ознайомлення – Генеральний директор Колядюк Василь Григорович.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Тел. для довідок :+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380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955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380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765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,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380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403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Виконавчий орган ПРАТ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ВОЛИНСЬКА ГІРНИЧО-ХІМІЧНА КОМПАНІЯ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